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A" w:rsidRDefault="00E565CA" w:rsidP="00E565CA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Gastvortrag</w:t>
      </w:r>
    </w:p>
    <w:p w:rsidR="00E565CA" w:rsidRDefault="00E565CA" w:rsidP="00E565CA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Prof. Dr. Silke Jansen (Friedrich-Alexander Universität Erlangen-Nürnberg)</w:t>
      </w:r>
    </w:p>
    <w:p w:rsidR="00E565CA" w:rsidRDefault="00E565CA" w:rsidP="00E565CA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565CA" w:rsidRPr="00E565CA" w:rsidRDefault="00E565CA" w:rsidP="00E565CA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E565CA">
        <w:rPr>
          <w:rFonts w:ascii="Book Antiqua" w:hAnsi="Book Antiqua" w:cs="Times New Roman"/>
          <w:b/>
          <w:sz w:val="24"/>
          <w:szCs w:val="24"/>
        </w:rPr>
        <w:t>„WENN MÄNNER UND FRAUEN VERSCHIEDENE SPRACHEN SPRECHEN:</w:t>
      </w:r>
    </w:p>
    <w:p w:rsidR="00E565CA" w:rsidRPr="00E565CA" w:rsidRDefault="00E565CA" w:rsidP="00E565CA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E565CA">
        <w:rPr>
          <w:rFonts w:ascii="Book Antiqua" w:hAnsi="Book Antiqua" w:cs="Times New Roman"/>
          <w:b/>
          <w:sz w:val="24"/>
          <w:szCs w:val="24"/>
        </w:rPr>
        <w:t xml:space="preserve">HYBRIDISIERUNG UND GENDER-INDEXIKALITÄT </w:t>
      </w:r>
    </w:p>
    <w:p w:rsidR="00E565CA" w:rsidRPr="00E565CA" w:rsidRDefault="00E565CA" w:rsidP="00E565CA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E565CA">
        <w:rPr>
          <w:rFonts w:ascii="Book Antiqua" w:hAnsi="Book Antiqua" w:cs="Times New Roman"/>
          <w:b/>
          <w:sz w:val="24"/>
          <w:szCs w:val="24"/>
        </w:rPr>
        <w:t xml:space="preserve">AM BEISPIEL DES INSELKARIBISCHEN“ </w:t>
      </w:r>
    </w:p>
    <w:p w:rsidR="00E565CA" w:rsidRDefault="00E565CA" w:rsidP="00E565CA">
      <w:pPr>
        <w:jc w:val="both"/>
        <w:rPr>
          <w:rFonts w:ascii="Book Antiqua" w:hAnsi="Book Antiqua" w:cs="Calibri"/>
          <w:color w:val="000000"/>
          <w:sz w:val="24"/>
          <w:szCs w:val="24"/>
        </w:rPr>
      </w:pPr>
    </w:p>
    <w:p w:rsidR="00E565CA" w:rsidRPr="00E565CA" w:rsidRDefault="00E565CA" w:rsidP="00E565CA">
      <w:pPr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565CA">
        <w:rPr>
          <w:rFonts w:ascii="Book Antiqua" w:hAnsi="Book Antiqua" w:cs="Calibri"/>
          <w:color w:val="000000"/>
          <w:sz w:val="24"/>
          <w:szCs w:val="24"/>
        </w:rPr>
        <w:t xml:space="preserve">Abstract </w:t>
      </w:r>
    </w:p>
    <w:p w:rsidR="00E565CA" w:rsidRDefault="00E565CA" w:rsidP="00E565CA">
      <w:pPr>
        <w:jc w:val="both"/>
        <w:rPr>
          <w:rFonts w:ascii="Book Antiqua" w:hAnsi="Book Antiqua" w:cs="Calibri"/>
          <w:color w:val="000000"/>
          <w:sz w:val="24"/>
          <w:szCs w:val="24"/>
        </w:rPr>
      </w:pPr>
    </w:p>
    <w:p w:rsidR="00E565CA" w:rsidRDefault="00E565CA" w:rsidP="00E565CA">
      <w:pPr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565CA">
        <w:rPr>
          <w:rFonts w:ascii="Book Antiqua" w:hAnsi="Book Antiqua" w:cs="Calibri"/>
          <w:color w:val="000000"/>
          <w:sz w:val="24"/>
          <w:szCs w:val="24"/>
        </w:rPr>
        <w:t>Das Inselkaribische, die indigene Sprache der Kleinen Antillen, ist uns aus den Beschreibungen französischer Reisender und Missionare des 17. Jahrhunderts gut bekannt. Die zeitgenössischen Autoren mutete</w:t>
      </w:r>
      <w:r>
        <w:rPr>
          <w:rFonts w:ascii="Book Antiqua" w:hAnsi="Book Antiqua" w:cs="Calibri"/>
          <w:color w:val="000000"/>
          <w:sz w:val="24"/>
          <w:szCs w:val="24"/>
        </w:rPr>
        <w:t>n</w:t>
      </w:r>
      <w:r w:rsidRPr="00E565CA">
        <w:rPr>
          <w:rFonts w:ascii="Book Antiqua" w:hAnsi="Book Antiqua" w:cs="Calibri"/>
          <w:color w:val="000000"/>
          <w:sz w:val="24"/>
          <w:szCs w:val="24"/>
        </w:rPr>
        <w:t xml:space="preserve"> diese Sprache vor allem deswegen seltsam an, weil Männer und Frauen unterschiedliche Lexeme und z.T. auch grammatische Morpheme verwendeten - ein Phänomen, das die moderne Linguistik als "Gender-</w:t>
      </w:r>
      <w:proofErr w:type="spellStart"/>
      <w:r w:rsidRPr="00E565CA">
        <w:rPr>
          <w:rFonts w:ascii="Book Antiqua" w:hAnsi="Book Antiqua" w:cs="Calibri"/>
          <w:color w:val="000000"/>
          <w:sz w:val="24"/>
          <w:szCs w:val="24"/>
        </w:rPr>
        <w:t>Indexikalität</w:t>
      </w:r>
      <w:proofErr w:type="spellEnd"/>
      <w:r w:rsidRPr="00E565CA">
        <w:rPr>
          <w:rFonts w:ascii="Book Antiqua" w:hAnsi="Book Antiqua" w:cs="Calibri"/>
          <w:color w:val="000000"/>
          <w:sz w:val="24"/>
          <w:szCs w:val="24"/>
        </w:rPr>
        <w:t xml:space="preserve">" bezeichnet. Wie linguistische Studien gezeigt haben, gehen die Inventare von Männern und Frauen etymologisch auf zwei verschiedene Sprachfamilien zurück, nämlich Karibisch und Arawak. </w:t>
      </w:r>
    </w:p>
    <w:p w:rsidR="00E565CA" w:rsidRDefault="00E565CA" w:rsidP="00E565CA">
      <w:pPr>
        <w:jc w:val="both"/>
        <w:rPr>
          <w:rFonts w:ascii="Book Antiqua" w:hAnsi="Book Antiqua" w:cs="Calibri"/>
          <w:color w:val="000000"/>
          <w:sz w:val="24"/>
          <w:szCs w:val="24"/>
        </w:rPr>
      </w:pPr>
    </w:p>
    <w:p w:rsidR="00BD26BF" w:rsidRPr="00E565CA" w:rsidRDefault="00E565CA" w:rsidP="00E565CA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E565CA">
        <w:rPr>
          <w:rFonts w:ascii="Book Antiqua" w:hAnsi="Book Antiqua" w:cs="Calibri"/>
          <w:color w:val="000000"/>
          <w:sz w:val="24"/>
          <w:szCs w:val="24"/>
        </w:rPr>
        <w:t>Ziel des Vortrags ist, auf der Grundlage der kolonialen Quellen Erscheinungsformen und Funktionen der Gender-</w:t>
      </w:r>
      <w:proofErr w:type="spellStart"/>
      <w:r w:rsidRPr="00E565CA">
        <w:rPr>
          <w:rFonts w:ascii="Book Antiqua" w:hAnsi="Book Antiqua" w:cs="Calibri"/>
          <w:color w:val="000000"/>
          <w:sz w:val="24"/>
          <w:szCs w:val="24"/>
        </w:rPr>
        <w:t>Indexikalität</w:t>
      </w:r>
      <w:proofErr w:type="spellEnd"/>
      <w:r w:rsidRPr="00E565CA">
        <w:rPr>
          <w:rFonts w:ascii="Book Antiqua" w:hAnsi="Book Antiqua" w:cs="Calibri"/>
          <w:color w:val="000000"/>
          <w:sz w:val="24"/>
          <w:szCs w:val="24"/>
        </w:rPr>
        <w:t xml:space="preserve"> im Inselkaribischen zu beschreiben. Darüber hinaus wird diskutiert, welche soziolinguistische Situation zu dieser Gender-basierten Form der Hybridisierung geführt haben könnte. </w:t>
      </w:r>
    </w:p>
    <w:sectPr w:rsidR="00BD26BF" w:rsidRPr="00E565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CA"/>
    <w:rsid w:val="005F39CE"/>
    <w:rsid w:val="006018AC"/>
    <w:rsid w:val="007C395C"/>
    <w:rsid w:val="007D1C17"/>
    <w:rsid w:val="009D1C30"/>
    <w:rsid w:val="00A6002D"/>
    <w:rsid w:val="00D268C1"/>
    <w:rsid w:val="00E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7719"/>
  <w15:chartTrackingRefBased/>
  <w15:docId w15:val="{21BAAE04-A890-4BEF-B2A0-DB5AF132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65CA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 </cp:lastModifiedBy>
  <cp:revision>1</cp:revision>
  <dcterms:created xsi:type="dcterms:W3CDTF">2019-01-14T11:14:00Z</dcterms:created>
  <dcterms:modified xsi:type="dcterms:W3CDTF">2019-01-14T11:22:00Z</dcterms:modified>
</cp:coreProperties>
</file>